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16</w:t>
      </w:r>
    </w:p>
    <w:p>
      <w:r>
        <w:t>Bundesgericht (BGE), 1992-07-07, DE</w:t>
      </w:r>
    </w:p>
    <w:p>
      <w:r>
        <w:rPr>
          <w:b/>
        </w:rPr>
        <w:t xml:space="preserve">Quelle: </w:t>
      </w:r>
      <w:r>
        <w:t>https://mcp.opencaselaw.ch/entscheid/bge_123 III 16</w:t>
      </w:r>
    </w:p>
    <w:p>
      <w:r>
        <w:t>FR: ATF 123 III 16</w:t>
      </w:r>
    </w:p>
    <w:p>
      <w:r>
        <w:t>IT: DTF 123 III 16</w:t>
      </w:r>
    </w:p>
    <w:p>
      <w:pPr>
        <w:pStyle w:val="Heading2"/>
      </w:pPr>
      <w:r>
        <w:t>Regeste</w:t>
      </w:r>
    </w:p>
    <w:p>
      <w:r>
        <w:t>Regeste Art. 107 OR. Wahlrecht des Gläubigers bei Verzug des Schuldners. Verzug des Verkäufers nach rechtskräftiger Verurteilung des Käufers zur Bezahlung des Kaufpreises: Steht der Klage des Käufers die Einrede der abgeurteilten Sache entgegen (E. 2)? Bedeutung der Wahlmöglichkeiten des Gläubigers bei Verzug des Schuldners. Auslegung der Wahlerklärung. Unwiderruflichkeit der getroffenen Wahl (E. 4).</w:t>
      </w:r>
    </w:p>
    <w:p>
      <w:pPr>
        <w:pStyle w:val="Heading2"/>
      </w:pPr>
      <w:r>
        <w:t>Erwägungen</w:t>
      </w:r>
    </w:p>
    <w:p>
      <w:r>
        <w:rPr>
          <w:b/>
        </w:rPr>
        <w:t>E. 2</w:t>
      </w:r>
    </w:p>
    <w:p>
      <w:r>
        <w:t>Wie bereits im kantonalen Verfahren erheben die Beklagten auch vor Bundesgericht die Einrede der abgeurteilten Sache und beantragen gestützt darauf - wenn auch bloss im Sinne eines Eventualstandpunktes - Nichteintreten auf die Klage. Dieser Antrag ist zulässig (vgl. Art. 40 OG in Verbindung mit Art. 22 BZP ; BGE 121 III 474 E. 2 S. 477). Zu seiner Begründung führen die Beklagten an, der Streitgegenstand des vorliegenden zweiten Prozesses sei mit jenem des ersten, mit dem Urteil des Bundesgerichts vom 20. April 1993 abgeschlossenen Prozesses identisch; in beiden Verfahren gehe es um den zulässigen Kaufgegenstand, um die richtige und rechtzeitige Erfüllung durch die Verkäufer und um die Verpflichtung des Käufers zur Bezahlung des Kaufpreises. a) Eine abgeurteilte Sache liegt vor, wenn der streitige Anspruch mit einem schon rechtskräftig beurteilten identisch ist. Dies trifft zu, falls der Anspruch dem Richter aus demselben Rechtsgrund und gestützt auf denselben Sachverhalt erneut zur Beurteilung unterbreitet wird. In anspruchsbezogene materielle Rechtskraft erwächst demzufolge allein das Sachurteil. Ein solches liegt nur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BGE 123 III 16 S. 19 haben die tatsächlichen Feststellungen und die rechtlichen Erwägungen eines Entscheids aber in einer anderen Streitsache keine bindende Wirkung. Die materielle Rechtskraft der Entscheidung wird objektiv begrenzt durch den Streitgegenstand. Der Begriff der Anspruchsidentität ist nicht grammatikalisch, sondern inhaltlich zu verstehen. Er wird durch die Rechtsbehauptungen bestimmt, die von den im abgeschlossenen Verfahren gestellten und beurteilten Begehren erfasst werden. Der neue Anspruch ist deshalb trotz abweichender Umschreibung vom beurteilten nicht verschieden, wenn er in diesem bereits enthalten war, wenn im neuen Verfahren bloss das kontradiktorische Gegenteil zur Beurteilung gestellt wird oder wenn die im ersten Prozess beurteilte Hauptfrage für Vorfragen des zweiten Prozesses von präjudizieller Bedeutung ist. Anderseits sind Rechtsbehauptungen trotz gleichen Wortlauts dann nicht identisch, wenn sie nicht auf dem gleichen Entstehungsgrund, das heisst auf denselben Tatsachen und rechtlichen Umständen beruhen ( BGE 121 III 474 E. 4a S. 477 f., mit Hinweisen). b) Bei einem zweiseitigen Vertrag muss, wer den andern zur Erfüllung anhalten will, nach Art. 82 OR entweder selbst bereits erfüllt haben oder die Erfüllung anbieten, es sei denn, er habe nach dem Inhalt oder der Natur des Vertrages erst später zu erfüllen. Nach herrschender Lehre (WEBER, Berner Kommentar, N. 199 zu Art. 82 OR ; SCHRANER, Zürcher Kommentar, N. 7 zu Art. 82 OR ; LEU, in: Kommentar zum Schweizerischen Privatrecht, Basel, N. 1 und 12 f. zu Art. 82 OR ; VON TUHR/ESCHER, Allgemeiner Teil des Schweizerischen Obligationenrechts, Bd. II, 3. Aufl. 1974, S. 60 f.; GAUCH/ SCHLUEP, Schweizerisches Obligationenrecht Allgemeiner Teil, 6. Aufl. 1995, Bd. II, N. 2229) und Rechtsprechung (Urteil des Bundesgerichts vom 8. Oktober 1985, publiziert in SJ 1986, S. 382; vgl. auch BGE 111 II 463 E. 3 S. 466; ebenso bereits BGE 76 II 298 E. 3 S. 299; BGE 79 II 277 E. 2 S. 279) gibt diese Bestimmung dem Schuldner eine aufschiebende Einrede mit der Wirkung, dass er die geforderte Leistung bis zur Erbringung oder Anbietung der Gegenleistung zurückhalten darf. Der Gläubiger kann sich demnach damit begnügen, auf vorbehaltlose Leistung zu klagen; es obliegt dem Schuldner, die Einrede zu erheben ( BGE 111 II 463 E. 3 S. 466). Wird die Einrede nicht erhoben, bildet somit die Gegenleistung nicht Streitgegenstand und wird im Urteil auch dann nicht rechtskräftig über sie entschieden, wenn sie nach dem Vertrag in Vorleistung oder Zug um Zug zu erbringen ist (vgl. SJ 1986, S. 382). Erhebt der Schuldner dagegen die Einrede, zwingt er den Gläubiger zur Beweisführung über die BGE 123 III 16 S. 20 Erfüllung oder das gehörige Angebot der Gegenleistung (WEBER, a.a.O., N. 216 zu Art. 82 OR ; SCHRANER, a.a.O., N. 198 zu Art. 82 OR ; LEU, a.a.O., N. 13 zu Art. 82 OR ; VON TUHR/ESCHER, a.a.O., S. 64). Insofern wird diesfalls die Gegenleistung zum Streitgegenstand. Das Gericht hat die Gegenleistung dabei jedoch nur insoweit inhaltlich zu beurteilen, als der Nachweis ihrer Erfüllung oder ihres Angebots Voraussetzung für die Gutheissung der Klage des Gläubigers ist. Das Urteil steht daher einem neuen Prozess über die Gegenleistung nur entgegen, soweit darin deren tatsächliche Erfüllung als bewiesen oder das Angebot der Erfüllung als vertragskonform erkannt wird. c) Im vorliegenden Fall hatte der Kläger im Vorprozess als Schuldner mindestens sinngemäss die Einrede aus Art. 82 OR erhoben und gerügt, die von den Beklagten angebotenen Unterlagen seien mangelhaft gewesen. Die Einrede wurde mit der Begründung verworfen, dass dem Beklagten eine allfällige Unleserlichkeit der Krankengeschichten schon beim Vertragsschluss bekannt gewesen und dass ihm nach den Feststellungen der Vorinstanz für die Entzifferung überdies Hilfe zugesagt worden sei. Es wurde somit entschieden, dass das Angebot der Beklagten, den Vertrag ihrerseits zu erfüllen, vertragsgemäss war. Dagegen wurde im Urteil vom 20. April 1993 nicht festgestellt, die Beklagten hätten ihre Leistung tatsächlich erbracht und den Vertrag ihrerseits erfüllt. Wie der Appellationshof zutreffend festhält, bildete die eigentliche Vertragsabwicklung insoweit nicht Gegenstand des damaligen Verfahrens. Wenn der Kläger daher behauptet, die Beklagten hätten ihre - vor dem Urteil vom 20. April 1993 gehörig angebotene - Leistung nach dem Urteil dennoch verweigert, nachdem er Erfüllung verlangt habe, so stützt er seine Klage auf eine neue Tatsache. Die Vorinstanz hat die Einrede der abgeurteilten Sache zu Recht verworfen.</w:t>
      </w:r>
    </w:p>
    <w:p>
      <w:r>
        <w:rPr>
          <w:b/>
        </w:rPr>
        <w:t>E. 3</w:t>
      </w:r>
    </w:p>
    <w:p>
      <w:r>
        <w:t>Nach den Feststellungen der Vorinstanz hat der Kläger nach dem Urteil vom 20. April 1993 mehrmals die bedingungslose Herausgabe aller Patientinnenunterlagen verlangt, was die Beklagten jedoch in dieser Form verweigert haben. Die Beklagten führen in ihrer Berufung selbst aus, dass sie bis zum Zeitpunkt des Urteils des Appellationshofs vom 7. Juli 1992 dem Kläger "die Kaufsache in ihrer Gesamtheit" angeboten hatten. Nach dem Urteil des Bundesgerichts vom 20. April 1993 bildeten Vertragsgegenstand die über die Patientinnen bestehenden schriftlichen Unterlagen (Namen, Adressen, Krankengeschichten, Operationsberichte), wobei sämtliche schriftlichen Unterlagen bezüglich der Patientinnen mit der BGE 123 III 16 S. 21 Praxisübernahme in den Gewahrsam des Beklagten übergehen sollten. Wie die Vorinstanz zutreffend darlegt, ist unter diesen Umständen die Ansicht der Beklagten nicht nachvollziehbar, sie hätten mit einer nachträglichen Einschränkung ihrer Leistung auf die Übergabe bloss der Namen und Adressen der Patientinnen weiterhin vertragskonforme Erfüllung angeboten. Aus der Rechtsschrift der Beklagten ist im übrigen nicht ersichtlich, welche Bundesrechtsnormen die Vorinstanz verletzt haben sollte, wenn sie den Leistungsgegenstand der Beklagten im Sinne der Urteile des Appellationshofs vom 7. Juni 1992 und des Bundesgerichts vom 20. April 1993 verstand.</w:t>
      </w:r>
    </w:p>
    <w:p>
      <w:r>
        <w:rPr>
          <w:b/>
        </w:rPr>
        <w:t>E. 4</w:t>
      </w:r>
    </w:p>
    <w:p>
      <w:r>
        <w:t>Befindet sich ein Schuldner bei zweiseitigen Verträgen im Verzug, ist der Gläubiger berechtigt, ihm eine angemessene Frist zur nachträglichen Erfüllung anzusetzen oder durch die zuständige Behörde ansetzen zu lassen ( Art. 107 Abs. 1 OR ). Wird auch bis zum Ablauf dieser Frist nicht erfüllt, hat der Gläubiger die Wahl, entweder immer noch Erfüllung - sowie Verspätungsschaden - zu verlangen oder, wenn er es unverzüglich erklärt, auf die nachträgliche Leistung zu verzichten. Verzichtet er auf nachträgliche Leistung, kann er entweder Schadenersatz wegen Nichterfüllung verlangen oder vom Vertrag zurücktreten ( Art. 107 Abs. 2 OR ). a) Die Vorinstanz bejaht den Schuldnerverzug der Beklagten. Sie hält in diesem Zusammenhang fest, dass Verzug bei der Gegenleistung auch nach dem rechtskräftigen Urteil über die Preiszahlung eintreten kann, was die Beklagten zu Recht nicht als bundesrechtswidrig rügen. Die Beklagten bestreiten zwar den Zeitpunkt der Fälligkeit ihrer Leistung, stellen aber nicht in Abrede, dass die Leistung jedenfalls seit dem rechtskräftigen Urteil über die Zahlungspflicht des Klägers längst fällig war. Den Ausführungen der Beklagten ist im übrigen nicht zu entnehmen, ob und inwiefern sie die Voraussetzungen des Schuldnerverzugs bestreiten wollen. Zwar trifft zu, dass der Kläger rechtskräftig zur Zahlung verurteilt war, sich seinerseits daher nicht mehr auf eine allfällige vertragliche Vorleistungspflicht der Beklagten berufen konnte und dass die Beklagten ihre Forderung auf dem Betreibungsweg vollstrecken konnten und auch vollstreckt haben. Mit ihrer Ansicht, dass sie vor der vollständigen Bezahlung des Preises durch den Kläger am 20. Juni 1994 mit ihrer eigenen Leistung gar nicht in Verzug hätten geraten können, verkennen die Beklagten jedoch, dass der Kläger, als er von ihnen Erfüllung forderte, nach den Feststellungen im angefochtenen Urteil jeweils seine eigene Leistung angeboten hat und BGE 123 III 16 S. 22 dass in Art. 82 OR das gehörige Angebot der Erfüllung gleichgestellt wird. Dass der Kläger die Beklagten im Sinne von Art. 102 Abs. 1 OR zur Erfüllung gemahnt hat, ist im übrigen nicht bestritten. Die Beklagten leiten denn auch aus ihrer Behauptung, der Schuldnerverzug habe frühestens nach vollständiger Bezahlung ihrer eigenen Forderung eintreten können, rechtlich nichts ab, sondern stellen sich im Gegenteil auf den Standpunkt, der Kläger habe die Wahlmöglichkeiten des Art. 107 Abs. 2 OR schon am 26. November 1993 und nicht erst im Juni 1994 ausgeübt. b) Entscheidet sich der Gläubiger mit dem Verzicht auf die nachträgliche Leistung für Schadenersatz aus Nichterfüllung, so hat der Schuldner ihm den Wert der Leistung zu ersetzen, auf die der Gläubiger verzichtet hat, während dieser grundsätzlich zur Erbringung seiner eigenen Leistung verpflichtet bleibt (VON TUHR/ESCHER, a.a.O., S. 154 f.; GAUCH/SCHLUEP, a.a.O., N. 3052 ff.; BUCHER, Schweizerisches Obligationenrecht, Allgemeiner Teil, 2. Aufl. Zürich 1988, S. 379 f.). Der Gläubiger hat Anspruch auf Ersatz des sogenannten positiven oder Erfüllungs-Interesses; er ist vermögensmässig so zu stellen, wie wenn der Vertrag ordnungsgemäss erfüllt worden wäre (WIEGAND, in: Kommentar zum Schweizerischen Privatrecht, Basel, N. 17 zu Art. 107 OR ; vgl. auch BGE 120 II 296 E. 3b S. 299). Der Vertragsrücktritt begründet dagegen ein Rückabwicklungs- oder Liquidationsverhältnis, in dessen Rahmen bereits erbrachte Leistungen in natura oder wertmässig zurückzuerstatten sind ( BGE 111 II 157 ), so dass die Parteien nach Möglichkeit vermögensmässig so gestellt werden, wie wenn sie den Vertrag nie geschlossen hätten. Umstritten ist, ob der Gläubiger mit der Verzichtserklärung gleichzeitig seine Entscheidung zugunsten des Schadenersatzes wegen Nichterfüllung oder des Vertragsrücktritts bekanntgeben muss (GAUCH/SCHLUEP, a.a.O. N. 3050 f.; WIEGAND, a.a.O., N. 15 zu Art. 107 OR ). Fest steht hingegen, dass die einmal getroffene Wahl als Ausübung eines Gestaltungsrechts ebenso unwiderruflich ist wie der Verzicht auf die Leistung (VON TUHR/ESCHER, a.a.O., S. 153 f.; BUCHER, a.a.O., S. 373). Für die Auslegung der Wahlerklärung ist der Vertrauensgrundsatz massgebend, sofern nicht festgestellt ist, dass die Parteien sie übereinstimmend im einen oder im anderen Sinne gemeint und verstanden haben. Die Erklärung ist daher so auszulegen, wie sie der Schuldner nach den gesamten Umständen in guten Treuen verstehen durfte und musste (WIEGAND, a.a.O., N. 15 zu Art. 107 OR ; BUCHER, a.a.O., S. 373 f.; vgl. auch BGE 76 II 300 E. 3 S. 306; BGE 54 II 308 S. 313). BGE 123 III 16 S. 23 c) Nach den Feststellungen der Vorinstanz hat der Kläger in seinem Schreiben vom 26. November 1993 erklärt, dass er gestützt auf Art. 107 Abs. 2 OR auf die Gegenleistung verzichte und sich die Geltendmachung des aus der Nichterfüllung entstandenen Schadens vorbehalte. Der Appellationshof hat diese Erklärung dahin ausgelegt, dass sich der Kläger für Schadenersatz wegen Nichterfüllung des Vertrages entschieden hat. Diese Auslegung ist bundesrechtlich nicht zu beanstanden. Im angefochtenen Urteil werden keine Umstände angeführt, die nahelegen würden, die Erklärung entgegen ihrem klarem Wortlaut als Vertragsrücktritt aufzufassen. Aus den Feststellungen der Vorinstanz zu den zum Teil widersprüchlichen Standpunkten, welche die Parteien in der Zeit nach der Erklärung vom 26. November 1993 eingenommen haben, ergibt sich zwar, dass sie sich über deren Bedeutung möglicherweise nicht restlos im Klaren waren. Dass die Parteien die Erklärung tatsächlich übereinstimmend als Vertragsrücktritt aufgefasst hätten, hat der Appellationshof aber jedenfalls nicht festgestellt. Bei dieser Sachlage kann ihm keine Verletzung von Bundesrecht vorgeworfen werden, wenn er die Erklärung so ausgelegt hat, wie sie die Beklagten mangels anderer Anhaltspunkte aufgrund des klaren Wortlauts nach Treu und Glauben verstehen durften und mussten. In seinen weiteren Erwägungen nimmt der Appellationshof an, der Kläger habe nach der auf dem Betreibungsweg erzwungenen Bezahlung seiner eigenen Leistung auf die erklärte Wahl insofern zurückkommen können, als er, statt Schadenersatz aus der Nichterfüllung des Vertrages zu verlangen, vom Vertrag habe zurücktreten können. In diesem Zusammenhang verweist die Vorinstanz auf eine Lehrmeinung, die den Gläubiger, soweit sein Schadenersatzanspruch an der Exkulpation des Schuldners scheitert ( Art. 97 Abs. 1 und Art. 103 Abs. 2 OR ), wieder in sein Wahlrecht einsetzen, ihm also erneut die Möglichkeit des Vertragsrücktritts gewähren will (GAUCH/SCHLUEP, a.a.O., N. 3024 ff.). Der Fall, dass der Schuldner sich exkulpieren und auf diese Weise der Schadenersatzpflicht entgehen kann, ist jedoch mit dem vorliegend zu beurteilenden Sachverhalt nicht vergleichbar. Bei Exkulpation des Schuldners entfällt oder reduziert sich dessen Leistungspflicht aus Gründen, auf die der Gläubiger keinen Einfluss hat; es mag deshalb als unbillig erscheinen, vom Gläubiger dennoch die volle Erbringung seiner eigenen Vertragsleistung zu verlangen. Dagegen berührt es die Leistungspflicht des Schuldners nicht, wenn - wie im vorliegenden Fall - die Leistung des Gläubigers auf dem Betreibungsweg BGE 123 III 16 S. 24 erzwungen wird. Weshalb der Umstand, dass der Kläger seine Leistung auf Betreibung hin hat erbringen müssen, ein Rückkommen auf die getroffene Wahl erlauben soll, ist daher nicht einzusehen. Die Vorinstanz hat die bindende Wirkung der einmal erklärten Wahl verkannt, wenn sie deren Widerruf zugelassen hat. Insoweit ist die Berufung begründet. d) Der Appellationshof hat die Beklagten gemäss Art. 109 OR zur Rückleistung und zu Schadenersatz aus dem Dahinfallen des Vertrages verpflichtet und damit den Ersatzanspruch des Klägers so berechnet, als wäre er vom Vertrag zurückgetreten. Der Erklärung des Klägers vom 26. November 1993 entsprechend hätte sie den Schadenersatzanspruch nach dessen Erfüllungsinteresse bemessen müssen, wobei dem Kläger oblag, die Elemente seines Schadens nachzuweisen (Art. 42 Abs. 1 in Verbindung mit Art. 99 Abs. 3 OR ; BGE 120 II 296 E. 3b S. 299). Die Feststellungen der Vorinstanz erlauben nicht, den Ersatzanspruch des Klägers auf dieser Grundlage zu berechnen. Das angefochtene Urteil ist deshalb aufzuheben und die Streitsache gestützt auf Art. 64 Abs. 1 OG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